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87" w:rsidRPr="00A704AB" w:rsidRDefault="001D1F87" w:rsidP="00D81C35">
      <w:pPr>
        <w:pStyle w:val="a3"/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1D1F87" w:rsidRPr="00634438" w:rsidRDefault="00174EFC" w:rsidP="00A704AB">
      <w:pPr>
        <w:pStyle w:val="a8"/>
        <w:spacing w:line="500" w:lineRule="exact"/>
        <w:rPr>
          <w:rFonts w:ascii="微软雅黑" w:eastAsia="微软雅黑" w:hAnsi="微软雅黑"/>
          <w:b/>
          <w:color w:val="7030A0"/>
          <w:sz w:val="32"/>
          <w:szCs w:val="32"/>
        </w:rPr>
      </w:pPr>
      <w:r w:rsidRPr="00634438">
        <w:rPr>
          <w:rFonts w:ascii="微软雅黑" w:eastAsia="微软雅黑" w:hAnsi="微软雅黑" w:hint="eastAsia"/>
          <w:b/>
          <w:color w:val="7030A0"/>
          <w:sz w:val="32"/>
          <w:szCs w:val="32"/>
        </w:rPr>
        <w:t>最高人民法院关于适用《中华人民共和国人民陪审员法》若干问题的解释</w:t>
      </w:r>
    </w:p>
    <w:p w:rsidR="001D1F87" w:rsidRPr="00A704AB" w:rsidRDefault="001D1F87" w:rsidP="00D81C35">
      <w:pPr>
        <w:pStyle w:val="a3"/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1D1F87" w:rsidRPr="00634438" w:rsidRDefault="00174EFC" w:rsidP="00D81C35">
      <w:pPr>
        <w:pStyle w:val="aa"/>
        <w:spacing w:line="240" w:lineRule="exact"/>
        <w:rPr>
          <w:rFonts w:ascii="微软雅黑" w:eastAsia="微软雅黑" w:hAnsi="微软雅黑"/>
          <w:color w:val="7030A0"/>
          <w:sz w:val="22"/>
          <w:szCs w:val="22"/>
        </w:rPr>
      </w:pPr>
      <w:r w:rsidRPr="00634438">
        <w:rPr>
          <w:rFonts w:ascii="微软雅黑" w:eastAsia="微软雅黑" w:hAnsi="微软雅黑" w:hint="eastAsia"/>
          <w:color w:val="7030A0"/>
          <w:sz w:val="22"/>
          <w:szCs w:val="22"/>
        </w:rPr>
        <w:t>法释〔2019〕5号</w:t>
      </w:r>
    </w:p>
    <w:p w:rsidR="001D1F87" w:rsidRPr="00A704AB" w:rsidRDefault="001D1F87" w:rsidP="00D81C35">
      <w:pPr>
        <w:pStyle w:val="a3"/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1D1F87" w:rsidRPr="00A704AB" w:rsidRDefault="00174EFC" w:rsidP="00A704AB">
      <w:pPr>
        <w:pStyle w:val="a9"/>
        <w:spacing w:line="240" w:lineRule="exact"/>
        <w:ind w:leftChars="0" w:left="0" w:rightChars="0" w:right="0"/>
        <w:jc w:val="center"/>
        <w:rPr>
          <w:rFonts w:ascii="微软雅黑" w:eastAsia="微软雅黑" w:hAnsi="微软雅黑"/>
          <w:color w:val="00B050"/>
          <w:sz w:val="22"/>
          <w:szCs w:val="22"/>
        </w:rPr>
      </w:pPr>
      <w:r w:rsidRPr="00A704AB">
        <w:rPr>
          <w:rFonts w:ascii="微软雅黑" w:eastAsia="微软雅黑" w:hAnsi="微软雅黑" w:hint="eastAsia"/>
          <w:color w:val="00B050"/>
          <w:sz w:val="22"/>
          <w:szCs w:val="22"/>
        </w:rPr>
        <w:t>（2019年2月18日最高人民法院审判委员会第1761次会议通过，自2019年5月1日起施行）</w:t>
      </w:r>
    </w:p>
    <w:p w:rsidR="001D1F87" w:rsidRPr="00A704AB" w:rsidRDefault="001D1F87" w:rsidP="00634438">
      <w:pPr>
        <w:pStyle w:val="a3"/>
        <w:spacing w:line="280" w:lineRule="exact"/>
        <w:rPr>
          <w:rFonts w:ascii="微软雅黑" w:eastAsia="微软雅黑" w:hAnsi="微软雅黑" w:cs="宋体"/>
          <w:sz w:val="22"/>
          <w:szCs w:val="22"/>
        </w:rPr>
      </w:pP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bookmarkStart w:id="0" w:name="_GoBack"/>
      <w:r w:rsidRPr="00A704AB">
        <w:rPr>
          <w:rFonts w:ascii="微软雅黑" w:eastAsia="微软雅黑" w:hAnsi="微软雅黑" w:cs="宋体" w:hint="eastAsia"/>
          <w:sz w:val="22"/>
          <w:szCs w:val="22"/>
        </w:rPr>
        <w:t>为依法保障和规范人民陪审员参加审判活动，根据《</w:t>
      </w:r>
      <w:r w:rsidRPr="00634438">
        <w:rPr>
          <w:rFonts w:ascii="微软雅黑" w:eastAsia="微软雅黑" w:hAnsi="微软雅黑" w:cs="宋体" w:hint="eastAsia"/>
          <w:b/>
          <w:sz w:val="22"/>
          <w:szCs w:val="22"/>
        </w:rPr>
        <w:t>中华人民共和国人民陪审员法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》等法律的规定，结合审判实际，制定本解释。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第一条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根据人民陪审员法</w:t>
      </w:r>
      <w:r w:rsidRPr="00CC6EDF">
        <w:rPr>
          <w:rFonts w:ascii="微软雅黑" w:eastAsia="微软雅黑" w:hAnsi="微软雅黑" w:cs="宋体" w:hint="eastAsia"/>
          <w:color w:val="C00000"/>
          <w:sz w:val="22"/>
          <w:szCs w:val="22"/>
        </w:rPr>
        <w:t>第十五条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、</w:t>
      </w:r>
      <w:r w:rsidRPr="00CC6EDF">
        <w:rPr>
          <w:rFonts w:ascii="微软雅黑" w:eastAsia="微软雅黑" w:hAnsi="微软雅黑" w:cs="宋体" w:hint="eastAsia"/>
          <w:color w:val="C00000"/>
          <w:sz w:val="22"/>
          <w:szCs w:val="22"/>
        </w:rPr>
        <w:t>第十六条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的规定，人民法院决定由人民陪审员和法官组成合议庭审判的，合议庭成员确定后，应当及时告知当事人。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第二条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对于人民陪审员法</w:t>
      </w:r>
      <w:r w:rsidRPr="00CC6EDF">
        <w:rPr>
          <w:rFonts w:ascii="微软雅黑" w:eastAsia="微软雅黑" w:hAnsi="微软雅黑" w:cs="宋体" w:hint="eastAsia"/>
          <w:color w:val="C00000"/>
          <w:sz w:val="22"/>
          <w:szCs w:val="22"/>
        </w:rPr>
        <w:t>第十五条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、</w:t>
      </w:r>
      <w:r w:rsidRPr="00CC6EDF">
        <w:rPr>
          <w:rFonts w:ascii="微软雅黑" w:eastAsia="微软雅黑" w:hAnsi="微软雅黑" w:cs="宋体" w:hint="eastAsia"/>
          <w:color w:val="C00000"/>
          <w:sz w:val="22"/>
          <w:szCs w:val="22"/>
        </w:rPr>
        <w:t>第十六条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规定之外的第一审普通程序案件，人民法院应当告知刑事案件被告人、民事案件原告和被告、行政案件原告，在收到通知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五日内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有权申请由人民陪审员参加合议庭审判案件。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人民法院接到当事人在规定期限内提交的申请后，经审查决定由人民陪审员和法官组成合议庭审判的，合议庭成员确定后，应当及时告知当事人。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第三条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 人民法院应当在开庭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七日前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从人民陪审员名单中随机抽取确定人民陪审员。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人民法院可以根据案件审判需要，从人民陪审员名单中随机抽取一定数量的候补人民陪审员，并确定递补顺序，一并告知当事人。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因案件类型需要具有相应专业知识的人民陪审员参加合议庭审判的，可以根据具体案情，在符合专业需求的人民陪审员名单中随机抽取确定。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第四条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人民陪审员确定后，人民法院应当将参审案件案由、当事人姓名或名称、开庭地点、开庭时间等事项告知参审人民陪审员及候补人民陪审员。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必要时，人民法院可以将参加审判活动的时间、地点等事项书面通知人民陪审员所在单位。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第五条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人民陪审员不参加下列案件的审理：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（一）依照民事诉讼法适用特别程序、督促程序、公示催告程序审理的案件；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（二）申请承认外国法院离婚判决的案件；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（三）裁定不予受理或者不需要开庭审理的案件。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第六条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 人民陪审员不得参与审理由其以人民调解员身份先行调解的案件。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第七条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当事人依法有权申请人民陪审员回避。人民陪审员的回避，适用审判人员回避的法律规定。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人民陪审员回避事由经审查成立的，人民法院应当及时确定递补人选。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第八条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 人民法院应当在开庭前，将相关权利和义务告知人民陪审员，并为其阅卷提供便利条件。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第九条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七人合议庭开庭前，应当制作事实认定问题清单，根据案件具体情况，区分事实认定问题与法律适用问题，对争议事实问题逐项列举，供人民陪审员在庭审时参考。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事实认定问题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和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法律适用问题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难以区分的，视为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事实认定问题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案件审判过程中，人民陪审员依法有权参加案件调查和调解工作。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第十一条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庭审过程中，人民陪审员依法有权向诉讼参加人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发问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，审判长应当提示人民陪审员围绕案件争议焦点进行发问。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第十二条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合议庭评议案件时，先由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承办法官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介绍案件涉及的相关法律、证据规则，然后由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人民陪审员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和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法官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依次发表意见，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审判长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最后发表意见并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总结合议庭意见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第十三条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七人合议庭评议时，审判长应当归纳和介绍需要通过评议讨论决定的案件事实认定问题，并列出案件事实问题清单。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人民陪审员全程参加合议庭评议，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对于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事实认定问题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，由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人民陪审员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和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法官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在共同评议的基础上进行表决。对于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法律适用问题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，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  <w:u w:val="dotted"/>
        </w:rPr>
        <w:t>人民陪审员不参加表决</w:t>
      </w:r>
      <w:r w:rsidRPr="00CC6EDF">
        <w:rPr>
          <w:rFonts w:ascii="微软雅黑" w:eastAsia="微软雅黑" w:hAnsi="微软雅黑" w:cs="宋体" w:hint="eastAsia"/>
          <w:sz w:val="22"/>
          <w:szCs w:val="22"/>
          <w:u w:val="dotted"/>
        </w:rPr>
        <w:t>，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但可以发表意见，并记录在卷。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第十四条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人民陪审员应当认真阅读评议笔录，确认无误后签名。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第十五条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人民陪审员列席审判委员会讨论其参加审理的案件时，可以发表意见。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第十六条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案件审结后，人民法院应将裁判文书副本及时送交参加该案审判的人民陪审员。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第十七条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中级、基层人民法院应当保障人民陪审员均衡参审，结合本院实际情况，一般在不超过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30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件的范围内合理确定每名人民陪审员年度参加审判案件的数量上限，报高级人民法院备案，并向社会公告。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第十八条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 人民法院应当依法规范和保障人民陪审员参加审判活动，不得安排人民陪审员从事与履行法定审判职责无关的工作。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b/>
          <w:sz w:val="22"/>
          <w:szCs w:val="22"/>
        </w:rPr>
        <w:t>第十九条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 xml:space="preserve"> 本解释自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2019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年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5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月</w:t>
      </w:r>
      <w:r w:rsidRPr="00CC6EDF">
        <w:rPr>
          <w:rFonts w:ascii="微软雅黑" w:eastAsia="微软雅黑" w:hAnsi="微软雅黑" w:cs="宋体" w:hint="eastAsia"/>
          <w:b/>
          <w:sz w:val="22"/>
          <w:szCs w:val="22"/>
        </w:rPr>
        <w:t>1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日起施行。</w:t>
      </w:r>
    </w:p>
    <w:p w:rsidR="001D1F87" w:rsidRPr="00A704AB" w:rsidRDefault="00174EFC" w:rsidP="00634438">
      <w:pPr>
        <w:pStyle w:val="a3"/>
        <w:spacing w:line="28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  <w:r w:rsidRPr="00A704AB">
        <w:rPr>
          <w:rFonts w:ascii="微软雅黑" w:eastAsia="微软雅黑" w:hAnsi="微软雅黑" w:cs="宋体" w:hint="eastAsia"/>
          <w:sz w:val="22"/>
          <w:szCs w:val="22"/>
        </w:rPr>
        <w:t>本解释公布施行后，最高人民法院于2010年1月12日发布的《</w:t>
      </w:r>
      <w:r w:rsidRPr="00634438">
        <w:rPr>
          <w:rFonts w:ascii="微软雅黑" w:eastAsia="微软雅黑" w:hAnsi="微软雅黑" w:cs="宋体" w:hint="eastAsia"/>
          <w:b/>
          <w:sz w:val="22"/>
          <w:szCs w:val="22"/>
        </w:rPr>
        <w:t>最高人民法院关于人民陪审员参加审判活动若干问题的规定</w:t>
      </w:r>
      <w:r w:rsidRPr="00A704AB">
        <w:rPr>
          <w:rFonts w:ascii="微软雅黑" w:eastAsia="微软雅黑" w:hAnsi="微软雅黑" w:cs="宋体" w:hint="eastAsia"/>
          <w:sz w:val="22"/>
          <w:szCs w:val="22"/>
        </w:rPr>
        <w:t>》同时废止。最高人民法院以前发布的司法解释与本解释不一致的，不再适用。</w:t>
      </w:r>
      <w:bookmarkEnd w:id="0"/>
    </w:p>
    <w:sectPr w:rsidR="001D1F87" w:rsidRPr="00A704AB" w:rsidSect="00FA6D04">
      <w:footerReference w:type="even" r:id="rId8"/>
      <w:footerReference w:type="default" r:id="rId9"/>
      <w:pgSz w:w="11906" w:h="16838"/>
      <w:pgMar w:top="720" w:right="720" w:bottom="720" w:left="720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71" w:rsidRDefault="00832C71" w:rsidP="001D1F87">
      <w:r>
        <w:separator/>
      </w:r>
    </w:p>
  </w:endnote>
  <w:endnote w:type="continuationSeparator" w:id="0">
    <w:p w:rsidR="00832C71" w:rsidRDefault="00832C71" w:rsidP="001D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87" w:rsidRDefault="00013BF2">
    <w:pPr>
      <w:pStyle w:val="a5"/>
      <w:framePr w:wrap="around" w:vAnchor="text" w:hAnchor="page" w:x="1837" w:y="-191"/>
      <w:rPr>
        <w:rStyle w:val="a7"/>
      </w:rPr>
    </w:pPr>
    <w:r>
      <w:rPr>
        <w:rStyle w:val="a7"/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 w:rsidR="00174EFC">
      <w:rPr>
        <w:rStyle w:val="a7"/>
        <w:rFonts w:asciiTheme="minorEastAsia" w:eastAsiaTheme="minorEastAsia" w:hAnsiTheme="minorEastAsia" w:cstheme="minorEastAsia" w:hint="eastAsia"/>
        <w:sz w:val="28"/>
        <w:szCs w:val="28"/>
      </w:rPr>
      <w:instrText xml:space="preserve">PAGE  </w:instrText>
    </w:r>
    <w:r>
      <w:rPr>
        <w:rStyle w:val="a7"/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="00634438">
      <w:rPr>
        <w:rStyle w:val="a7"/>
        <w:rFonts w:asciiTheme="minorEastAsia" w:eastAsiaTheme="minorEastAsia" w:hAnsiTheme="minorEastAsia" w:cstheme="minorEastAsia"/>
        <w:noProof/>
        <w:sz w:val="28"/>
        <w:szCs w:val="28"/>
      </w:rPr>
      <w:t>- 2 -</w:t>
    </w:r>
    <w:r>
      <w:rPr>
        <w:rStyle w:val="a7"/>
        <w:rFonts w:asciiTheme="minorEastAsia" w:eastAsiaTheme="minorEastAsia" w:hAnsiTheme="minorEastAsia" w:cstheme="minorEastAsia" w:hint="eastAsia"/>
        <w:sz w:val="28"/>
        <w:szCs w:val="28"/>
      </w:rPr>
      <w:fldChar w:fldCharType="end"/>
    </w:r>
  </w:p>
  <w:p w:rsidR="001D1F87" w:rsidRDefault="001D1F8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87" w:rsidRDefault="00013BF2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6.25pt;margin-top:3.3pt;width:35.05pt;height:18.15pt;z-index:251659264;mso-wrap-style:none;mso-position-horizontal-relative:margin" o:gfxdata="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8cQ529gAAAAMAQAADwAAAAAAAAABACAAAAAiAAAAZHJzL2Rvd25y&#10;ZXYueG1sUEsBAhQAFAAAAAgAh07iQHrnkk/FAQAAawMAAA4AAAAAAAAAAQAgAAAAJwEAAGRycy9l&#10;Mm9Eb2MueG1sUEsFBgAAAAAGAAYAWQEAAF4FAAAAAA==&#10;" filled="f" stroked="f">
          <v:textbox style="mso-fit-shape-to-text:t" inset="0,0,0,0">
            <w:txbxContent>
              <w:p w:rsidR="001D1F87" w:rsidRDefault="00013BF2">
                <w:pPr>
                  <w:pStyle w:val="a5"/>
                  <w:rPr>
                    <w:rStyle w:val="a7"/>
                  </w:rPr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174EFC"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C6EDF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71" w:rsidRDefault="00832C71" w:rsidP="001D1F87">
      <w:r>
        <w:separator/>
      </w:r>
    </w:p>
  </w:footnote>
  <w:footnote w:type="continuationSeparator" w:id="0">
    <w:p w:rsidR="00832C71" w:rsidRDefault="00832C71" w:rsidP="001D1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C55"/>
    <w:rsid w:val="000051BA"/>
    <w:rsid w:val="00007DC9"/>
    <w:rsid w:val="00013BF2"/>
    <w:rsid w:val="00022FF2"/>
    <w:rsid w:val="000246CF"/>
    <w:rsid w:val="00026B55"/>
    <w:rsid w:val="000300E0"/>
    <w:rsid w:val="0004157A"/>
    <w:rsid w:val="00041639"/>
    <w:rsid w:val="00046FD0"/>
    <w:rsid w:val="00060A39"/>
    <w:rsid w:val="00060B3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D7352"/>
    <w:rsid w:val="000E5187"/>
    <w:rsid w:val="000E56CF"/>
    <w:rsid w:val="000E6D88"/>
    <w:rsid w:val="000F150B"/>
    <w:rsid w:val="000F2196"/>
    <w:rsid w:val="000F2D91"/>
    <w:rsid w:val="00106D59"/>
    <w:rsid w:val="001211C7"/>
    <w:rsid w:val="00125415"/>
    <w:rsid w:val="00141FB6"/>
    <w:rsid w:val="00156266"/>
    <w:rsid w:val="00162880"/>
    <w:rsid w:val="0016489F"/>
    <w:rsid w:val="0016665A"/>
    <w:rsid w:val="00170A71"/>
    <w:rsid w:val="00174EFC"/>
    <w:rsid w:val="001A7520"/>
    <w:rsid w:val="001B131A"/>
    <w:rsid w:val="001B153F"/>
    <w:rsid w:val="001B6523"/>
    <w:rsid w:val="001D1F87"/>
    <w:rsid w:val="001D4E14"/>
    <w:rsid w:val="001D5662"/>
    <w:rsid w:val="001E1AB1"/>
    <w:rsid w:val="002064F7"/>
    <w:rsid w:val="00206B2B"/>
    <w:rsid w:val="0021638E"/>
    <w:rsid w:val="0023259F"/>
    <w:rsid w:val="00233F94"/>
    <w:rsid w:val="00235183"/>
    <w:rsid w:val="00241E35"/>
    <w:rsid w:val="002428F9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7E25"/>
    <w:rsid w:val="002B5E8C"/>
    <w:rsid w:val="002C11D2"/>
    <w:rsid w:val="002D6C55"/>
    <w:rsid w:val="002E52C2"/>
    <w:rsid w:val="00313AEE"/>
    <w:rsid w:val="0031621E"/>
    <w:rsid w:val="00327650"/>
    <w:rsid w:val="00334544"/>
    <w:rsid w:val="003370AB"/>
    <w:rsid w:val="003407E4"/>
    <w:rsid w:val="00342C41"/>
    <w:rsid w:val="00344576"/>
    <w:rsid w:val="00356973"/>
    <w:rsid w:val="00356AAC"/>
    <w:rsid w:val="00357579"/>
    <w:rsid w:val="00357968"/>
    <w:rsid w:val="00374592"/>
    <w:rsid w:val="00384827"/>
    <w:rsid w:val="003854B1"/>
    <w:rsid w:val="003871CA"/>
    <w:rsid w:val="003902DE"/>
    <w:rsid w:val="00390825"/>
    <w:rsid w:val="00394561"/>
    <w:rsid w:val="00395336"/>
    <w:rsid w:val="003D7E4C"/>
    <w:rsid w:val="003E737D"/>
    <w:rsid w:val="003F534F"/>
    <w:rsid w:val="00422EA0"/>
    <w:rsid w:val="00424C9C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A69A0"/>
    <w:rsid w:val="004B0465"/>
    <w:rsid w:val="004B2619"/>
    <w:rsid w:val="004B7D8C"/>
    <w:rsid w:val="004C1EAA"/>
    <w:rsid w:val="004C4DF7"/>
    <w:rsid w:val="004C569C"/>
    <w:rsid w:val="004F5158"/>
    <w:rsid w:val="00506C84"/>
    <w:rsid w:val="005142A1"/>
    <w:rsid w:val="00517CAB"/>
    <w:rsid w:val="0053713F"/>
    <w:rsid w:val="005433C2"/>
    <w:rsid w:val="005502F2"/>
    <w:rsid w:val="00562083"/>
    <w:rsid w:val="0058350A"/>
    <w:rsid w:val="00594376"/>
    <w:rsid w:val="005A56F6"/>
    <w:rsid w:val="005A6C12"/>
    <w:rsid w:val="005C1972"/>
    <w:rsid w:val="005D3469"/>
    <w:rsid w:val="005E2A4A"/>
    <w:rsid w:val="005F1B3D"/>
    <w:rsid w:val="00602816"/>
    <w:rsid w:val="00604ACB"/>
    <w:rsid w:val="00606C5B"/>
    <w:rsid w:val="006171AA"/>
    <w:rsid w:val="006178C3"/>
    <w:rsid w:val="00621BAF"/>
    <w:rsid w:val="0062410E"/>
    <w:rsid w:val="00626CE8"/>
    <w:rsid w:val="00634438"/>
    <w:rsid w:val="00661621"/>
    <w:rsid w:val="006711F4"/>
    <w:rsid w:val="0068140B"/>
    <w:rsid w:val="00685825"/>
    <w:rsid w:val="006B086F"/>
    <w:rsid w:val="006E1FF4"/>
    <w:rsid w:val="006E7630"/>
    <w:rsid w:val="006F0A7E"/>
    <w:rsid w:val="006F6FC3"/>
    <w:rsid w:val="00715180"/>
    <w:rsid w:val="00720A73"/>
    <w:rsid w:val="00720CAF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490A"/>
    <w:rsid w:val="007775EF"/>
    <w:rsid w:val="007A51E0"/>
    <w:rsid w:val="007A6544"/>
    <w:rsid w:val="007A7FD3"/>
    <w:rsid w:val="007C01D1"/>
    <w:rsid w:val="007C5705"/>
    <w:rsid w:val="007D13B8"/>
    <w:rsid w:val="007D77CE"/>
    <w:rsid w:val="00802CDC"/>
    <w:rsid w:val="00805E1D"/>
    <w:rsid w:val="00823C1E"/>
    <w:rsid w:val="00826D77"/>
    <w:rsid w:val="00832C71"/>
    <w:rsid w:val="0083338D"/>
    <w:rsid w:val="008701AB"/>
    <w:rsid w:val="0087139A"/>
    <w:rsid w:val="00877798"/>
    <w:rsid w:val="008802DB"/>
    <w:rsid w:val="00890F76"/>
    <w:rsid w:val="0089274E"/>
    <w:rsid w:val="008A08FA"/>
    <w:rsid w:val="008E70E5"/>
    <w:rsid w:val="008F50DB"/>
    <w:rsid w:val="008F5238"/>
    <w:rsid w:val="008F7723"/>
    <w:rsid w:val="00904BC8"/>
    <w:rsid w:val="00913A4E"/>
    <w:rsid w:val="00925F75"/>
    <w:rsid w:val="0097410F"/>
    <w:rsid w:val="00974280"/>
    <w:rsid w:val="00974393"/>
    <w:rsid w:val="0097704C"/>
    <w:rsid w:val="00986E71"/>
    <w:rsid w:val="009942EB"/>
    <w:rsid w:val="009A1862"/>
    <w:rsid w:val="009A78E1"/>
    <w:rsid w:val="009B548C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35D41"/>
    <w:rsid w:val="00A40953"/>
    <w:rsid w:val="00A459E3"/>
    <w:rsid w:val="00A571FE"/>
    <w:rsid w:val="00A616E3"/>
    <w:rsid w:val="00A636AF"/>
    <w:rsid w:val="00A704AB"/>
    <w:rsid w:val="00AA03DB"/>
    <w:rsid w:val="00AA164E"/>
    <w:rsid w:val="00AA3B2D"/>
    <w:rsid w:val="00AA7268"/>
    <w:rsid w:val="00AB0D6D"/>
    <w:rsid w:val="00AB68DD"/>
    <w:rsid w:val="00AC2B0B"/>
    <w:rsid w:val="00AD35D8"/>
    <w:rsid w:val="00AF6D19"/>
    <w:rsid w:val="00B018B8"/>
    <w:rsid w:val="00B1436F"/>
    <w:rsid w:val="00B17FDC"/>
    <w:rsid w:val="00B22148"/>
    <w:rsid w:val="00B25C4D"/>
    <w:rsid w:val="00B364E6"/>
    <w:rsid w:val="00B47F03"/>
    <w:rsid w:val="00B62010"/>
    <w:rsid w:val="00B6417D"/>
    <w:rsid w:val="00B712AC"/>
    <w:rsid w:val="00B82084"/>
    <w:rsid w:val="00B959CA"/>
    <w:rsid w:val="00B95E1A"/>
    <w:rsid w:val="00BB4808"/>
    <w:rsid w:val="00BD62E5"/>
    <w:rsid w:val="00BD715F"/>
    <w:rsid w:val="00BD7A11"/>
    <w:rsid w:val="00BE0134"/>
    <w:rsid w:val="00BE421E"/>
    <w:rsid w:val="00BE428E"/>
    <w:rsid w:val="00BF2167"/>
    <w:rsid w:val="00BF6AB5"/>
    <w:rsid w:val="00C03182"/>
    <w:rsid w:val="00C10C97"/>
    <w:rsid w:val="00C41CE2"/>
    <w:rsid w:val="00C452E4"/>
    <w:rsid w:val="00C53D36"/>
    <w:rsid w:val="00C57E0D"/>
    <w:rsid w:val="00C636EE"/>
    <w:rsid w:val="00C73C73"/>
    <w:rsid w:val="00C75F27"/>
    <w:rsid w:val="00C76A21"/>
    <w:rsid w:val="00C85BE4"/>
    <w:rsid w:val="00C93424"/>
    <w:rsid w:val="00CA3B61"/>
    <w:rsid w:val="00CB05CD"/>
    <w:rsid w:val="00CB268F"/>
    <w:rsid w:val="00CC6EDF"/>
    <w:rsid w:val="00CD046D"/>
    <w:rsid w:val="00CD15F8"/>
    <w:rsid w:val="00CF0128"/>
    <w:rsid w:val="00CF0812"/>
    <w:rsid w:val="00CF41FE"/>
    <w:rsid w:val="00CF4321"/>
    <w:rsid w:val="00CF5E94"/>
    <w:rsid w:val="00CF7BE1"/>
    <w:rsid w:val="00D07F94"/>
    <w:rsid w:val="00D16B69"/>
    <w:rsid w:val="00D21DEB"/>
    <w:rsid w:val="00D3514F"/>
    <w:rsid w:val="00D6266A"/>
    <w:rsid w:val="00D81C35"/>
    <w:rsid w:val="00D91F48"/>
    <w:rsid w:val="00D97443"/>
    <w:rsid w:val="00DB1764"/>
    <w:rsid w:val="00DB2440"/>
    <w:rsid w:val="00DB3C8A"/>
    <w:rsid w:val="00DB5F18"/>
    <w:rsid w:val="00DC5F89"/>
    <w:rsid w:val="00DD0C51"/>
    <w:rsid w:val="00E06E17"/>
    <w:rsid w:val="00E11578"/>
    <w:rsid w:val="00E25C09"/>
    <w:rsid w:val="00E35402"/>
    <w:rsid w:val="00E379EC"/>
    <w:rsid w:val="00E42DA2"/>
    <w:rsid w:val="00E47E0D"/>
    <w:rsid w:val="00E526C3"/>
    <w:rsid w:val="00E56A87"/>
    <w:rsid w:val="00E56E52"/>
    <w:rsid w:val="00E854B0"/>
    <w:rsid w:val="00E9403C"/>
    <w:rsid w:val="00E956E5"/>
    <w:rsid w:val="00E95DF8"/>
    <w:rsid w:val="00E97496"/>
    <w:rsid w:val="00EB642C"/>
    <w:rsid w:val="00EB67B5"/>
    <w:rsid w:val="00EB6A82"/>
    <w:rsid w:val="00EE1F86"/>
    <w:rsid w:val="00EE4190"/>
    <w:rsid w:val="00F01156"/>
    <w:rsid w:val="00F11389"/>
    <w:rsid w:val="00F11CAA"/>
    <w:rsid w:val="00F14865"/>
    <w:rsid w:val="00F3114F"/>
    <w:rsid w:val="00F3147A"/>
    <w:rsid w:val="00F31FF1"/>
    <w:rsid w:val="00F347B6"/>
    <w:rsid w:val="00F37571"/>
    <w:rsid w:val="00F44A15"/>
    <w:rsid w:val="00F4779A"/>
    <w:rsid w:val="00F70562"/>
    <w:rsid w:val="00F744B5"/>
    <w:rsid w:val="00F845F5"/>
    <w:rsid w:val="00F865EA"/>
    <w:rsid w:val="00F90AF4"/>
    <w:rsid w:val="00FA21BD"/>
    <w:rsid w:val="00FA6D04"/>
    <w:rsid w:val="00FB46C7"/>
    <w:rsid w:val="00FC2B5F"/>
    <w:rsid w:val="00FD0009"/>
    <w:rsid w:val="00FD51B5"/>
    <w:rsid w:val="00FF690A"/>
    <w:rsid w:val="22FF7C6A"/>
    <w:rsid w:val="23C00BB2"/>
    <w:rsid w:val="52251F63"/>
    <w:rsid w:val="7A1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F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1D1F87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rsid w:val="001D1F87"/>
    <w:rPr>
      <w:sz w:val="18"/>
      <w:szCs w:val="18"/>
    </w:rPr>
  </w:style>
  <w:style w:type="paragraph" w:styleId="a5">
    <w:name w:val="footer"/>
    <w:basedOn w:val="a"/>
    <w:rsid w:val="001D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1D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1D1F87"/>
  </w:style>
  <w:style w:type="paragraph" w:customStyle="1" w:styleId="a8">
    <w:name w:val="标题名"/>
    <w:basedOn w:val="a3"/>
    <w:rsid w:val="001D1F87"/>
    <w:pPr>
      <w:jc w:val="center"/>
    </w:pPr>
    <w:rPr>
      <w:rFonts w:hAnsi="宋体"/>
      <w:sz w:val="44"/>
    </w:rPr>
  </w:style>
  <w:style w:type="paragraph" w:customStyle="1" w:styleId="a9">
    <w:name w:val="题注信息"/>
    <w:basedOn w:val="a3"/>
    <w:rsid w:val="001D1F87"/>
    <w:pPr>
      <w:ind w:leftChars="400" w:left="400" w:rightChars="300" w:right="630"/>
    </w:pPr>
    <w:rPr>
      <w:rFonts w:eastAsia="楷体_GB2312" w:hAnsi="宋体"/>
      <w:sz w:val="32"/>
    </w:rPr>
  </w:style>
  <w:style w:type="paragraph" w:customStyle="1" w:styleId="aa">
    <w:name w:val="文号"/>
    <w:basedOn w:val="a3"/>
    <w:qFormat/>
    <w:rsid w:val="001D1F87"/>
    <w:pPr>
      <w:jc w:val="center"/>
    </w:pPr>
    <w:rPr>
      <w:rFonts w:eastAsia="楷体_GB2312" w:hAnsi="宋体"/>
      <w:sz w:val="32"/>
    </w:rPr>
  </w:style>
  <w:style w:type="paragraph" w:customStyle="1" w:styleId="ParaCharCharCharCharCharCharChar">
    <w:name w:val="默认段落字体 Para Char Char Char Char Char Char Char"/>
    <w:basedOn w:val="a"/>
    <w:rsid w:val="001D1F87"/>
  </w:style>
  <w:style w:type="character" w:customStyle="1" w:styleId="Char1">
    <w:name w:val="页眉 Char"/>
    <w:basedOn w:val="a0"/>
    <w:link w:val="a6"/>
    <w:rsid w:val="001D1F87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1D1F8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uiPriority w:val="99"/>
    <w:rsid w:val="001D1F87"/>
    <w:rPr>
      <w:rFonts w:ascii="宋体" w:hAnsi="Courier New" w:cs="Courier New"/>
      <w:kern w:val="2"/>
      <w:sz w:val="21"/>
      <w:szCs w:val="21"/>
    </w:rPr>
  </w:style>
  <w:style w:type="paragraph" w:customStyle="1" w:styleId="ab">
    <w:name w:val="正文字体"/>
    <w:basedOn w:val="a"/>
    <w:qFormat/>
    <w:rsid w:val="001D1F87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844E9-1BC2-4B78-A048-29FDCE8E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1438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9</cp:revision>
  <cp:lastPrinted>2014-04-03T09:04:00Z</cp:lastPrinted>
  <dcterms:created xsi:type="dcterms:W3CDTF">2019-04-19T02:33:00Z</dcterms:created>
  <dcterms:modified xsi:type="dcterms:W3CDTF">2024-04-09T05:50:00Z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